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76"/>
      </w:pPr>
      <w:r>
        <w:rPr/>
        <w:t>PTE MŰVÉSZETI KAR</w:t>
      </w:r>
    </w:p>
    <w:p>
      <w:pPr>
        <w:spacing w:before="175"/>
        <w:ind w:left="236" w:right="0" w:firstLine="0"/>
        <w:jc w:val="left"/>
        <w:rPr>
          <w:b/>
          <w:sz w:val="18"/>
        </w:rPr>
      </w:pPr>
      <w:r>
        <w:rPr>
          <w:b/>
          <w:sz w:val="22"/>
        </w:rPr>
        <w:t>4. </w:t>
      </w:r>
      <w:r>
        <w:rPr>
          <w:b/>
          <w:sz w:val="18"/>
        </w:rPr>
        <w:t>SZ</w:t>
      </w:r>
      <w:r>
        <w:rPr>
          <w:b/>
          <w:sz w:val="22"/>
        </w:rPr>
        <w:t>. </w:t>
      </w:r>
      <w:r>
        <w:rPr>
          <w:b/>
          <w:sz w:val="18"/>
        </w:rPr>
        <w:t>MELLÉKLET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86"/>
        <w:ind w:left="2881" w:right="0" w:firstLine="0"/>
        <w:jc w:val="left"/>
        <w:rPr>
          <w:b/>
          <w:sz w:val="32"/>
        </w:rPr>
      </w:pPr>
      <w:r>
        <w:rPr>
          <w:b/>
          <w:sz w:val="32"/>
        </w:rPr>
        <w:t>Szakdolgozati témabejelentő*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9"/>
      </w:tblGrid>
      <w:tr>
        <w:trPr>
          <w:trHeight w:val="565" w:hRule="exact"/>
        </w:trPr>
        <w:tc>
          <w:tcPr>
            <w:tcW w:w="94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Hallgató neve:</w:t>
            </w:r>
          </w:p>
        </w:tc>
      </w:tr>
      <w:tr>
        <w:trPr>
          <w:trHeight w:val="560" w:hRule="exact"/>
        </w:trPr>
        <w:tc>
          <w:tcPr>
            <w:tcW w:w="94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Szakja:</w:t>
            </w:r>
          </w:p>
        </w:tc>
      </w:tr>
      <w:tr>
        <w:trPr>
          <w:trHeight w:val="564" w:hRule="exact"/>
        </w:trPr>
        <w:tc>
          <w:tcPr>
            <w:tcW w:w="949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Hallgató közvetlen elérhetősége (telefon, email, lakcím):</w:t>
            </w:r>
          </w:p>
        </w:tc>
      </w:tr>
      <w:tr>
        <w:trPr>
          <w:trHeight w:val="560" w:hRule="exact"/>
        </w:trPr>
        <w:tc>
          <w:tcPr>
            <w:tcW w:w="94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Szakdolgozat témája:</w:t>
            </w:r>
          </w:p>
        </w:tc>
      </w:tr>
      <w:tr>
        <w:trPr>
          <w:trHeight w:val="565" w:hRule="exact"/>
        </w:trPr>
        <w:tc>
          <w:tcPr>
            <w:tcW w:w="94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Szakdolgozat munkacíme:</w:t>
            </w:r>
          </w:p>
        </w:tc>
      </w:tr>
      <w:tr>
        <w:trPr>
          <w:trHeight w:val="560" w:hRule="exact"/>
        </w:trPr>
        <w:tc>
          <w:tcPr>
            <w:tcW w:w="94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Konzulens neve, beosztása:</w:t>
            </w:r>
          </w:p>
        </w:tc>
      </w:tr>
      <w:tr>
        <w:trPr>
          <w:trHeight w:val="652" w:hRule="exact"/>
        </w:trPr>
        <w:tc>
          <w:tcPr>
            <w:tcW w:w="9499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Külsős konzulens esetén címe, telefonszáma:</w:t>
            </w:r>
          </w:p>
        </w:tc>
      </w:tr>
    </w:tbl>
    <w:p>
      <w:pPr>
        <w:pStyle w:val="BodyText"/>
        <w:spacing w:before="4"/>
        <w:rPr>
          <w:b/>
          <w:sz w:val="36"/>
        </w:rPr>
      </w:pPr>
    </w:p>
    <w:p>
      <w:pPr>
        <w:pStyle w:val="BodyText"/>
        <w:tabs>
          <w:tab w:pos="4810" w:val="left" w:leader="none"/>
        </w:tabs>
        <w:ind w:left="236"/>
      </w:pPr>
      <w:r>
        <w:rPr/>
        <w:t>Pécs,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70.824997pt,17.939592pt" to="208.825004pt,17.93959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283.299988pt,17.939592pt" to="439.299995pt,17.93959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5493" w:val="left" w:leader="none"/>
        </w:tabs>
        <w:spacing w:line="247" w:lineRule="exact"/>
        <w:ind w:left="944"/>
      </w:pPr>
      <w:r>
        <w:rPr/>
        <w:t>hallgató</w:t>
        <w:tab/>
        <w:t>konzulens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group style="position:absolute;margin-left:64.824997pt;margin-top:18.606243pt;width:479.95pt;height:134.25pt;mso-position-horizontal-relative:page;mso-position-vertical-relative:paragraph;z-index:1144;mso-wrap-distance-left:0;mso-wrap-distance-right:0" coordorigin="1296,372" coordsize="9599,2685">
            <v:line style="position:absolute" from="1308,380" to="10883,380" stroked="true" strokeweight=".4pt" strokecolor="#000000">
              <v:stroke dashstyle="solid"/>
            </v:line>
            <v:line style="position:absolute" from="1300,3053" to="1308,3053" stroked="true" strokeweight=".4pt" strokecolor="#000000">
              <v:stroke dashstyle="solid"/>
            </v:line>
            <v:line style="position:absolute" from="1300,3053" to="1308,3053" stroked="true" strokeweight=".4pt" strokecolor="#000000">
              <v:stroke dashstyle="solid"/>
            </v:line>
            <v:line style="position:absolute" from="1308,3053" to="10883,3053" stroked="true" strokeweight=".4pt" strokecolor="#000000">
              <v:stroke dashstyle="solid"/>
            </v:line>
            <v:line style="position:absolute" from="10883,3053" to="10891,3053" stroked="true" strokeweight=".4pt" strokecolor="#000000">
              <v:stroke dashstyle="solid"/>
            </v:line>
            <v:line style="position:absolute" from="10883,3053" to="10891,3053" stroked="true" strokeweight=".4pt" strokecolor="#000000">
              <v:stroke dashstyle="solid"/>
            </v:line>
            <v:line style="position:absolute" from="1304,376" to="1304,3049" stroked="true" strokeweight=".4pt" strokecolor="#000000">
              <v:stroke dashstyle="solid"/>
            </v:line>
            <v:line style="position:absolute" from="10887,376" to="10887,3049" stroked="true" strokeweight=".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6;top:827;width:9006;height:1094" type="#_x0000_t202" filled="false" stroked="false">
              <v:textbox inset="0,0,0,0">
                <w:txbxContent>
                  <w:p>
                    <w:pPr>
                      <w:tabs>
                        <w:tab w:pos="3541" w:val="left" w:leader="none"/>
                      </w:tabs>
                      <w:spacing w:line="357" w:lineRule="auto" w:before="0"/>
                      <w:ind w:left="0" w:right="417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 szakdolgozati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téma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elfogadva:</w:t>
                      <w:tab/>
                      <w:t>IGEN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NEM</w:t>
                    </w:r>
                    <w:r>
                      <w:rPr>
                        <w:w w:val="9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Külsős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konzulens*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engedélyezve:</w:t>
                      <w:tab/>
                      <w:t>IGEN /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NEM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*Külső konzulens felkérése esetén a 31/2007. (VI. 5.) sz. KT Határozat szabályai irányadóak.</w:t>
                    </w:r>
                  </w:p>
                </w:txbxContent>
              </v:textbox>
              <w10:wrap type="none"/>
            </v:shape>
            <v:shape style="position:absolute;left:1416;top:2479;width:4115;height:266" type="#_x0000_t202" filled="false" stroked="false">
              <v:textbox inset="0,0,0,0">
                <w:txbxContent>
                  <w:p>
                    <w:pPr>
                      <w:tabs>
                        <w:tab w:pos="409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Pécs,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374;top:2479;width:4396;height:547" type="#_x0000_t202" filled="false" stroked="false">
              <v:textbox inset="0,0,0,0">
                <w:txbxContent>
                  <w:p>
                    <w:pPr>
                      <w:tabs>
                        <w:tab w:pos="4375" w:val="left" w:leader="none"/>
                      </w:tabs>
                      <w:spacing w:line="244" w:lineRule="auto" w:before="0"/>
                      <w:ind w:left="707" w:right="18" w:hanging="70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4"/>
                      </w:rPr>
                      <w:t>s</w:t>
                    </w:r>
                    <w:r>
                      <w:rPr>
                        <w:spacing w:val="-3"/>
                        <w:w w:val="100"/>
                        <w:sz w:val="24"/>
                      </w:rPr>
                      <w:t>z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a</w:t>
                    </w:r>
                    <w:r>
                      <w:rPr>
                        <w:w w:val="100"/>
                        <w:sz w:val="24"/>
                      </w:rPr>
                      <w:t>kf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e</w:t>
                    </w:r>
                    <w:r>
                      <w:rPr>
                        <w:w w:val="100"/>
                        <w:sz w:val="24"/>
                      </w:rPr>
                      <w:t>l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e</w:t>
                    </w:r>
                    <w:r>
                      <w:rPr>
                        <w:w w:val="100"/>
                        <w:sz w:val="24"/>
                      </w:rPr>
                      <w:t>l</w:t>
                    </w:r>
                    <w:r>
                      <w:rPr>
                        <w:w w:val="99"/>
                        <w:sz w:val="24"/>
                      </w:rPr>
                      <w:t>ős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e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"/>
                        <w:sz w:val="24"/>
                      </w:rPr>
                      <w:t>g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e</w:t>
                    </w:r>
                    <w:r>
                      <w:rPr>
                        <w:w w:val="100"/>
                        <w:sz w:val="24"/>
                      </w:rPr>
                      <w:t>d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é</w:t>
                    </w:r>
                    <w:r>
                      <w:rPr>
                        <w:w w:val="100"/>
                        <w:sz w:val="24"/>
                      </w:rPr>
                      <w:t>l</w:t>
                    </w:r>
                    <w:r>
                      <w:rPr>
                        <w:spacing w:val="-8"/>
                        <w:sz w:val="24"/>
                      </w:rPr>
                      <w:t>y</w:t>
                    </w:r>
                    <w:r>
                      <w:rPr>
                        <w:spacing w:val="5"/>
                        <w:w w:val="100"/>
                        <w:sz w:val="24"/>
                      </w:rPr>
                      <w:t>é</w:t>
                    </w:r>
                    <w:r>
                      <w:rPr>
                        <w:spacing w:val="-5"/>
                        <w:sz w:val="24"/>
                      </w:rPr>
                      <w:t>v</w:t>
                    </w:r>
                    <w:r>
                      <w:rPr>
                        <w:spacing w:val="1"/>
                        <w:w w:val="100"/>
                        <w:sz w:val="24"/>
                      </w:rPr>
                      <w:t>e</w:t>
                    </w:r>
                    <w:r>
                      <w:rPr>
                        <w:w w:val="100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236"/>
      </w:pPr>
      <w:r>
        <w:rPr/>
        <w:t>*A témabejelentő digitálisan is kitölthető.</w:t>
      </w:r>
    </w:p>
    <w:sectPr>
      <w:type w:val="continuous"/>
      <w:pgSz w:w="11910" w:h="16840"/>
      <w:pgMar w:top="700" w:bottom="280" w:left="11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68" w:lineRule="exact"/>
      <w:ind w:left="10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</dc:creator>
  <dc:title>Az Oktatásszervezési osztály felhívta a Kar figyelmét arra, hogy az április Szenátuson lehetőség lesz a TVSZ módosítására</dc:title>
  <dcterms:created xsi:type="dcterms:W3CDTF">2023-05-08T11:30:56Z</dcterms:created>
  <dcterms:modified xsi:type="dcterms:W3CDTF">2023-05-08T11:30:56Z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